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112"/>
      </w:tblGrid>
      <w:tr w:rsidR="00430B8A" w:rsidRPr="00FD73D3" w:rsidTr="00F120E0">
        <w:tc>
          <w:tcPr>
            <w:tcW w:w="6062" w:type="dxa"/>
          </w:tcPr>
          <w:p w:rsidR="00430B8A" w:rsidRPr="00FD73D3" w:rsidRDefault="00430B8A" w:rsidP="00C85CFF">
            <w:pPr>
              <w:tabs>
                <w:tab w:val="left" w:pos="4667"/>
              </w:tabs>
              <w:ind w:hanging="108"/>
              <w:rPr>
                <w:rFonts w:ascii="Arial" w:hAnsi="Arial" w:cs="Arial"/>
                <w:b/>
                <w:sz w:val="20"/>
              </w:rPr>
            </w:pPr>
            <w:r w:rsidRPr="00FD73D3">
              <w:rPr>
                <w:rFonts w:ascii="Arial" w:hAnsi="Arial" w:cs="Arial"/>
                <w:b/>
                <w:sz w:val="20"/>
              </w:rPr>
              <w:t xml:space="preserve">Amt für Landwirtschaft, </w:t>
            </w:r>
          </w:p>
          <w:p w:rsidR="00430B8A" w:rsidRPr="00FD73D3" w:rsidRDefault="00430B8A" w:rsidP="00C85CFF">
            <w:pPr>
              <w:tabs>
                <w:tab w:val="left" w:pos="4667"/>
              </w:tabs>
              <w:ind w:left="-108"/>
              <w:rPr>
                <w:rFonts w:ascii="Arial" w:hAnsi="Arial" w:cs="Arial"/>
                <w:sz w:val="20"/>
              </w:rPr>
            </w:pPr>
            <w:r w:rsidRPr="00FD73D3">
              <w:rPr>
                <w:rFonts w:ascii="Arial" w:hAnsi="Arial" w:cs="Arial"/>
                <w:b/>
                <w:sz w:val="20"/>
              </w:rPr>
              <w:t>Flurneuordnung und Forsten Süd</w:t>
            </w:r>
          </w:p>
        </w:tc>
        <w:tc>
          <w:tcPr>
            <w:tcW w:w="3150" w:type="dxa"/>
          </w:tcPr>
          <w:p w:rsidR="00430B8A" w:rsidRPr="00FD73D3" w:rsidRDefault="008962C8" w:rsidP="00C85CFF">
            <w:pPr>
              <w:tabs>
                <w:tab w:val="left" w:pos="466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Halle</w:t>
            </w:r>
            <w:r w:rsidR="00430B8A" w:rsidRPr="00FD73D3">
              <w:rPr>
                <w:rFonts w:ascii="Arial" w:hAnsi="Arial" w:cs="Arial"/>
                <w:sz w:val="20"/>
              </w:rPr>
              <w:t xml:space="preserve">, den </w:t>
            </w:r>
            <w:r>
              <w:rPr>
                <w:rFonts w:ascii="Arial" w:hAnsi="Arial" w:cs="Arial"/>
                <w:sz w:val="20"/>
              </w:rPr>
              <w:t>1</w:t>
            </w:r>
            <w:r w:rsidR="00C85CFF">
              <w:rPr>
                <w:rFonts w:ascii="Arial" w:hAnsi="Arial" w:cs="Arial"/>
                <w:sz w:val="20"/>
              </w:rPr>
              <w:t>5.10.2021</w:t>
            </w:r>
          </w:p>
        </w:tc>
      </w:tr>
    </w:tbl>
    <w:p w:rsidR="00FD73D3" w:rsidRPr="00FD73D3" w:rsidRDefault="00FD73D3" w:rsidP="00FD7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 w:rsidRPr="00FD73D3">
        <w:rPr>
          <w:rFonts w:ascii="Arial" w:hAnsi="Arial" w:cs="Arial"/>
          <w:sz w:val="20"/>
        </w:rPr>
        <w:t>Müllnerstraße 59, 06667 Weißenfels</w:t>
      </w:r>
    </w:p>
    <w:p w:rsidR="00FD73D3" w:rsidRPr="00FD73D3" w:rsidRDefault="00FD73D3" w:rsidP="00FD7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 w:rsidRPr="00FD73D3">
        <w:rPr>
          <w:rFonts w:ascii="Arial" w:hAnsi="Arial" w:cs="Arial"/>
          <w:sz w:val="20"/>
        </w:rPr>
        <w:t>und Außenstelle des Amtes</w:t>
      </w:r>
    </w:p>
    <w:p w:rsidR="00FD73D3" w:rsidRPr="00FD73D3" w:rsidRDefault="00FD73D3" w:rsidP="00FD7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 w:rsidRPr="00FD73D3">
        <w:rPr>
          <w:rFonts w:ascii="Arial" w:hAnsi="Arial" w:cs="Arial"/>
          <w:sz w:val="20"/>
        </w:rPr>
        <w:t>Mühlweg 19, 06114 Halle/ Saale</w:t>
      </w:r>
    </w:p>
    <w:p w:rsidR="00EB3627" w:rsidRDefault="00EB3627" w:rsidP="00EB3627">
      <w:pPr>
        <w:jc w:val="center"/>
        <w:rPr>
          <w:rFonts w:ascii="Arial" w:hAnsi="Arial" w:cs="Arial"/>
          <w:b/>
          <w:sz w:val="22"/>
          <w:szCs w:val="22"/>
        </w:rPr>
      </w:pPr>
    </w:p>
    <w:p w:rsidR="00E6631E" w:rsidRPr="00EB3627" w:rsidRDefault="00EB3627" w:rsidP="00EB3627">
      <w:pPr>
        <w:jc w:val="center"/>
        <w:rPr>
          <w:rFonts w:ascii="Arial" w:hAnsi="Arial" w:cs="Arial"/>
          <w:b/>
          <w:sz w:val="22"/>
          <w:szCs w:val="22"/>
        </w:rPr>
      </w:pPr>
      <w:r w:rsidRPr="00EB3627">
        <w:rPr>
          <w:rFonts w:ascii="Arial" w:hAnsi="Arial" w:cs="Arial"/>
          <w:b/>
          <w:sz w:val="22"/>
          <w:szCs w:val="22"/>
        </w:rPr>
        <w:t>ÖFFENTLICHE BEKANNTMACHUNG</w:t>
      </w:r>
    </w:p>
    <w:p w:rsidR="00EB3627" w:rsidRDefault="00EB3627" w:rsidP="00FD73D3">
      <w:pPr>
        <w:jc w:val="center"/>
        <w:rPr>
          <w:rFonts w:ascii="Arial" w:hAnsi="Arial" w:cs="Arial"/>
          <w:b/>
          <w:szCs w:val="24"/>
        </w:rPr>
      </w:pPr>
    </w:p>
    <w:p w:rsidR="00682B2B" w:rsidRPr="00FD73D3" w:rsidRDefault="00682B2B" w:rsidP="00FD73D3">
      <w:pPr>
        <w:jc w:val="center"/>
        <w:rPr>
          <w:rFonts w:ascii="Arial" w:hAnsi="Arial" w:cs="Arial"/>
          <w:b/>
          <w:szCs w:val="24"/>
        </w:rPr>
      </w:pPr>
      <w:r w:rsidRPr="00FD73D3">
        <w:rPr>
          <w:rFonts w:ascii="Arial" w:hAnsi="Arial" w:cs="Arial"/>
          <w:b/>
          <w:szCs w:val="24"/>
        </w:rPr>
        <w:t>SCHLUSSFESTSTELLUNG</w:t>
      </w:r>
    </w:p>
    <w:p w:rsidR="007E3B5E" w:rsidRPr="00FD73D3" w:rsidRDefault="007E3B5E" w:rsidP="00FD73D3">
      <w:pPr>
        <w:jc w:val="center"/>
        <w:rPr>
          <w:rFonts w:ascii="Arial" w:hAnsi="Arial" w:cs="Arial"/>
          <w:sz w:val="20"/>
        </w:rPr>
      </w:pPr>
      <w:r w:rsidRPr="00FD73D3">
        <w:rPr>
          <w:rFonts w:ascii="Arial" w:hAnsi="Arial" w:cs="Arial"/>
          <w:sz w:val="20"/>
        </w:rPr>
        <w:t>gemäß § 149 Flurbereinigungsgesetz (FlurbG)</w:t>
      </w:r>
      <w:r w:rsidR="00430B8A" w:rsidRPr="00FD73D3">
        <w:rPr>
          <w:rFonts w:ascii="Arial" w:hAnsi="Arial" w:cs="Arial"/>
          <w:sz w:val="20"/>
        </w:rPr>
        <w:t xml:space="preserve"> im</w:t>
      </w:r>
    </w:p>
    <w:p w:rsidR="00430B8A" w:rsidRPr="00FD73D3" w:rsidRDefault="00430B8A" w:rsidP="00FD73D3">
      <w:pPr>
        <w:jc w:val="center"/>
        <w:rPr>
          <w:rFonts w:ascii="Arial" w:hAnsi="Arial" w:cs="Arial"/>
          <w:sz w:val="20"/>
        </w:rPr>
      </w:pPr>
    </w:p>
    <w:p w:rsidR="00997537" w:rsidRPr="00FD73D3" w:rsidRDefault="008962C8" w:rsidP="00FD73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Flurbereinigungsverfahren „Osterhausen (A38)“</w:t>
      </w:r>
    </w:p>
    <w:p w:rsidR="00682B2B" w:rsidRPr="00FD73D3" w:rsidRDefault="00932B1F" w:rsidP="00FD73D3">
      <w:pPr>
        <w:jc w:val="center"/>
        <w:rPr>
          <w:rFonts w:ascii="Arial" w:hAnsi="Arial" w:cs="Arial"/>
          <w:b/>
          <w:szCs w:val="24"/>
        </w:rPr>
      </w:pPr>
      <w:r w:rsidRPr="00FD73D3">
        <w:rPr>
          <w:rFonts w:ascii="Arial" w:hAnsi="Arial" w:cs="Arial"/>
          <w:b/>
          <w:szCs w:val="24"/>
        </w:rPr>
        <w:t>Verfahrensnummer</w:t>
      </w:r>
      <w:r w:rsidR="00E6631E" w:rsidRPr="00FD73D3">
        <w:rPr>
          <w:rFonts w:ascii="Arial" w:hAnsi="Arial" w:cs="Arial"/>
          <w:b/>
          <w:szCs w:val="24"/>
        </w:rPr>
        <w:t>:</w:t>
      </w:r>
      <w:r w:rsidR="00430B8A" w:rsidRPr="00FD73D3">
        <w:rPr>
          <w:rFonts w:ascii="Arial" w:hAnsi="Arial" w:cs="Arial"/>
          <w:b/>
          <w:szCs w:val="24"/>
        </w:rPr>
        <w:t xml:space="preserve"> 61-7 </w:t>
      </w:r>
      <w:r w:rsidR="008962C8">
        <w:rPr>
          <w:rFonts w:ascii="Arial" w:hAnsi="Arial" w:cs="Arial"/>
          <w:b/>
          <w:szCs w:val="24"/>
        </w:rPr>
        <w:t>ML016</w:t>
      </w:r>
    </w:p>
    <w:p w:rsidR="00430B8A" w:rsidRPr="00FD73D3" w:rsidRDefault="00430B8A" w:rsidP="00FD73D3">
      <w:pPr>
        <w:jc w:val="both"/>
        <w:rPr>
          <w:rFonts w:ascii="Arial" w:hAnsi="Arial" w:cs="Arial"/>
          <w:b/>
          <w:sz w:val="20"/>
        </w:rPr>
      </w:pPr>
    </w:p>
    <w:p w:rsidR="00682B2B" w:rsidRPr="008962C8" w:rsidRDefault="007E3B5E" w:rsidP="00FD73D3">
      <w:pPr>
        <w:jc w:val="both"/>
        <w:rPr>
          <w:rFonts w:ascii="Arial" w:hAnsi="Arial" w:cs="Arial"/>
          <w:b/>
          <w:sz w:val="22"/>
          <w:szCs w:val="22"/>
        </w:rPr>
      </w:pPr>
      <w:r w:rsidRPr="008962C8">
        <w:rPr>
          <w:rFonts w:ascii="Arial" w:hAnsi="Arial" w:cs="Arial"/>
          <w:b/>
          <w:sz w:val="22"/>
          <w:szCs w:val="22"/>
        </w:rPr>
        <w:t>Feststellung</w:t>
      </w:r>
      <w:r w:rsidR="005E7055" w:rsidRPr="008962C8">
        <w:rPr>
          <w:rFonts w:ascii="Arial" w:hAnsi="Arial" w:cs="Arial"/>
          <w:b/>
          <w:sz w:val="22"/>
          <w:szCs w:val="22"/>
        </w:rPr>
        <w:t>en</w:t>
      </w:r>
    </w:p>
    <w:p w:rsidR="00FD73D3" w:rsidRPr="008962C8" w:rsidRDefault="00FD73D3" w:rsidP="00FD73D3">
      <w:pPr>
        <w:jc w:val="both"/>
        <w:rPr>
          <w:rFonts w:ascii="Arial" w:hAnsi="Arial" w:cs="Arial"/>
          <w:b/>
          <w:sz w:val="22"/>
          <w:szCs w:val="22"/>
        </w:rPr>
      </w:pPr>
    </w:p>
    <w:p w:rsidR="00682B2B" w:rsidRPr="008962C8" w:rsidRDefault="00997537" w:rsidP="00053265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Es</w:t>
      </w:r>
      <w:r w:rsidR="00682B2B" w:rsidRPr="008962C8">
        <w:rPr>
          <w:rFonts w:ascii="Arial" w:hAnsi="Arial" w:cs="Arial"/>
          <w:sz w:val="22"/>
          <w:szCs w:val="22"/>
        </w:rPr>
        <w:t xml:space="preserve"> wird festgestellt, dass die Ausführung nach dem Flurbereinigungsplan bewirkt ist</w:t>
      </w:r>
      <w:r w:rsidRPr="008962C8">
        <w:rPr>
          <w:rFonts w:ascii="Arial" w:hAnsi="Arial" w:cs="Arial"/>
          <w:sz w:val="22"/>
          <w:szCs w:val="22"/>
        </w:rPr>
        <w:t>.</w:t>
      </w:r>
      <w:r w:rsidR="00053265">
        <w:rPr>
          <w:rFonts w:ascii="Arial" w:hAnsi="Arial" w:cs="Arial"/>
          <w:sz w:val="22"/>
          <w:szCs w:val="22"/>
        </w:rPr>
        <w:t xml:space="preserve"> </w:t>
      </w:r>
      <w:r w:rsidRPr="008962C8">
        <w:rPr>
          <w:rFonts w:ascii="Arial" w:hAnsi="Arial" w:cs="Arial"/>
          <w:sz w:val="22"/>
          <w:szCs w:val="22"/>
        </w:rPr>
        <w:t>D</w:t>
      </w:r>
      <w:r w:rsidR="00682B2B" w:rsidRPr="008962C8">
        <w:rPr>
          <w:rFonts w:ascii="Arial" w:hAnsi="Arial" w:cs="Arial"/>
          <w:sz w:val="22"/>
          <w:szCs w:val="22"/>
        </w:rPr>
        <w:t xml:space="preserve">en Beteiligten </w:t>
      </w:r>
      <w:r w:rsidRPr="008962C8">
        <w:rPr>
          <w:rFonts w:ascii="Arial" w:hAnsi="Arial" w:cs="Arial"/>
          <w:sz w:val="22"/>
          <w:szCs w:val="22"/>
        </w:rPr>
        <w:t xml:space="preserve">stehen </w:t>
      </w:r>
      <w:r w:rsidR="00682B2B" w:rsidRPr="008962C8">
        <w:rPr>
          <w:rFonts w:ascii="Arial" w:hAnsi="Arial" w:cs="Arial"/>
          <w:sz w:val="22"/>
          <w:szCs w:val="22"/>
        </w:rPr>
        <w:t xml:space="preserve">keine Ansprüche mehr zu, die im Flurbereinigungsverfahren </w:t>
      </w:r>
      <w:r w:rsidRPr="008962C8">
        <w:rPr>
          <w:rFonts w:ascii="Arial" w:hAnsi="Arial" w:cs="Arial"/>
          <w:sz w:val="22"/>
          <w:szCs w:val="22"/>
        </w:rPr>
        <w:t xml:space="preserve">hätten </w:t>
      </w:r>
      <w:r w:rsidR="00682B2B" w:rsidRPr="008962C8">
        <w:rPr>
          <w:rFonts w:ascii="Arial" w:hAnsi="Arial" w:cs="Arial"/>
          <w:sz w:val="22"/>
          <w:szCs w:val="22"/>
        </w:rPr>
        <w:t>berücksichtigt werden müssen.</w:t>
      </w:r>
    </w:p>
    <w:p w:rsidR="00F120E0" w:rsidRDefault="008962C8" w:rsidP="000532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Lutherstadt Eisleben</w:t>
      </w:r>
      <w:r w:rsidR="00F120E0" w:rsidRPr="008962C8">
        <w:rPr>
          <w:rFonts w:ascii="Arial" w:hAnsi="Arial" w:cs="Arial"/>
          <w:sz w:val="22"/>
          <w:szCs w:val="22"/>
        </w:rPr>
        <w:t xml:space="preserve"> </w:t>
      </w:r>
      <w:r w:rsidR="00C85CFF">
        <w:rPr>
          <w:rFonts w:ascii="Arial" w:hAnsi="Arial" w:cs="Arial"/>
          <w:sz w:val="22"/>
          <w:szCs w:val="22"/>
        </w:rPr>
        <w:t xml:space="preserve">tritt </w:t>
      </w:r>
      <w:r w:rsidR="00F120E0" w:rsidRPr="008962C8">
        <w:rPr>
          <w:rFonts w:ascii="Arial" w:hAnsi="Arial" w:cs="Arial"/>
          <w:sz w:val="22"/>
          <w:szCs w:val="22"/>
        </w:rPr>
        <w:t>in alle noch laufenden Verpflichtungen der Teilnehmergemeinschaft „</w:t>
      </w:r>
      <w:r>
        <w:rPr>
          <w:rFonts w:ascii="Arial" w:hAnsi="Arial" w:cs="Arial"/>
          <w:sz w:val="22"/>
          <w:szCs w:val="22"/>
        </w:rPr>
        <w:t>Osterhausen (A38)“</w:t>
      </w:r>
      <w:r w:rsidR="00F120E0" w:rsidRPr="008962C8">
        <w:rPr>
          <w:rFonts w:ascii="Arial" w:hAnsi="Arial" w:cs="Arial"/>
          <w:sz w:val="22"/>
          <w:szCs w:val="22"/>
        </w:rPr>
        <w:t xml:space="preserve">, die sich aus den gewährten Zuwendungen zur Förderung der regionalen ländlichen Entwicklung in Sachsen-Anhalt (RELE) ergeben, </w:t>
      </w:r>
      <w:r w:rsidR="00903F21" w:rsidRPr="008962C8">
        <w:rPr>
          <w:rFonts w:ascii="Arial" w:hAnsi="Arial" w:cs="Arial"/>
          <w:sz w:val="22"/>
          <w:szCs w:val="22"/>
        </w:rPr>
        <w:t xml:space="preserve">für die folgenden Maßnahmen </w:t>
      </w:r>
      <w:r w:rsidR="00F120E0" w:rsidRPr="008962C8">
        <w:rPr>
          <w:rFonts w:ascii="Arial" w:hAnsi="Arial" w:cs="Arial"/>
          <w:sz w:val="22"/>
          <w:szCs w:val="22"/>
        </w:rPr>
        <w:t>bis zum Ablauf der Zweckbindungsfrist ein:</w:t>
      </w:r>
    </w:p>
    <w:p w:rsidR="008962C8" w:rsidRPr="008962C8" w:rsidRDefault="008962C8" w:rsidP="00FD73D3">
      <w:pPr>
        <w:rPr>
          <w:rFonts w:ascii="Arial" w:hAnsi="Arial" w:cs="Arial"/>
          <w:sz w:val="22"/>
          <w:szCs w:val="2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126"/>
        <w:gridCol w:w="1559"/>
        <w:gridCol w:w="1843"/>
      </w:tblGrid>
      <w:tr w:rsidR="00B22292" w:rsidRPr="008962C8" w:rsidTr="00C85CFF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292" w:rsidRPr="00C85CFF" w:rsidRDefault="00B22292" w:rsidP="00FD73D3">
            <w:pPr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Maßnahme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292" w:rsidRPr="00C85CFF" w:rsidRDefault="00B22292" w:rsidP="00FD73D3">
            <w:pPr>
              <w:jc w:val="right"/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ZWB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2292" w:rsidRPr="00C85CFF" w:rsidRDefault="00C85CFF" w:rsidP="00FD73D3">
            <w:pPr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Bauabnahme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CFF" w:rsidRDefault="00B22292" w:rsidP="00FD73D3">
            <w:pPr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 xml:space="preserve">Ablauf </w:t>
            </w:r>
          </w:p>
          <w:p w:rsidR="00B22292" w:rsidRPr="00C85CFF" w:rsidRDefault="00B22292" w:rsidP="00FD73D3">
            <w:pPr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der Bindefrist</w:t>
            </w:r>
          </w:p>
        </w:tc>
      </w:tr>
      <w:tr w:rsidR="00C85CFF" w:rsidRPr="008962C8" w:rsidTr="00C85CFF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CFF" w:rsidRPr="00C85CFF" w:rsidRDefault="00C85CFF" w:rsidP="00FD73D3">
            <w:pPr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W02a, W14a, W23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CFF" w:rsidRPr="00C85CFF" w:rsidRDefault="00C85CFF" w:rsidP="00FD73D3">
            <w:pPr>
              <w:jc w:val="right"/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1251 12000130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CFF" w:rsidRPr="00C85CFF" w:rsidRDefault="00C85CFF" w:rsidP="00FD73D3">
            <w:pPr>
              <w:rPr>
                <w:rFonts w:ascii="Arial" w:hAnsi="Arial" w:cs="Arial"/>
                <w:sz w:val="20"/>
              </w:rPr>
            </w:pPr>
            <w:r w:rsidRPr="00C85CFF">
              <w:rPr>
                <w:rFonts w:ascii="Arial" w:hAnsi="Arial" w:cs="Arial"/>
                <w:sz w:val="20"/>
              </w:rPr>
              <w:t>21.10.201</w:t>
            </w:r>
            <w:r w:rsidR="000C572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CFF" w:rsidRPr="00C85CFF" w:rsidRDefault="00C85CFF" w:rsidP="00FD73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21.10.2025</w:t>
            </w:r>
          </w:p>
        </w:tc>
      </w:tr>
    </w:tbl>
    <w:p w:rsidR="008962C8" w:rsidRDefault="008962C8" w:rsidP="00FD73D3">
      <w:pPr>
        <w:rPr>
          <w:rFonts w:ascii="Arial" w:hAnsi="Arial" w:cs="Arial"/>
          <w:sz w:val="22"/>
          <w:szCs w:val="22"/>
        </w:rPr>
      </w:pPr>
    </w:p>
    <w:p w:rsidR="007E3B5E" w:rsidRPr="008962C8" w:rsidRDefault="007E3B5E" w:rsidP="00FD73D3">
      <w:pPr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Die Aufgaben der Teilnehmergemeinschaft „</w:t>
      </w:r>
      <w:r w:rsidR="008962C8">
        <w:rPr>
          <w:rFonts w:ascii="Arial" w:hAnsi="Arial" w:cs="Arial"/>
          <w:sz w:val="22"/>
          <w:szCs w:val="22"/>
        </w:rPr>
        <w:t>Osterhausen (A38)</w:t>
      </w:r>
      <w:r w:rsidRPr="008962C8">
        <w:rPr>
          <w:rFonts w:ascii="Arial" w:hAnsi="Arial" w:cs="Arial"/>
          <w:sz w:val="22"/>
          <w:szCs w:val="22"/>
        </w:rPr>
        <w:t xml:space="preserve">“ sind </w:t>
      </w:r>
      <w:r w:rsidR="008833D1" w:rsidRPr="008962C8">
        <w:rPr>
          <w:rFonts w:ascii="Arial" w:hAnsi="Arial" w:cs="Arial"/>
          <w:sz w:val="22"/>
          <w:szCs w:val="22"/>
        </w:rPr>
        <w:t xml:space="preserve">damit </w:t>
      </w:r>
      <w:r w:rsidRPr="008962C8">
        <w:rPr>
          <w:rFonts w:ascii="Arial" w:hAnsi="Arial" w:cs="Arial"/>
          <w:sz w:val="22"/>
          <w:szCs w:val="22"/>
        </w:rPr>
        <w:t>abgeschlossen.</w:t>
      </w:r>
    </w:p>
    <w:p w:rsidR="007E3B5E" w:rsidRPr="008962C8" w:rsidRDefault="007E3B5E" w:rsidP="00FD73D3">
      <w:pPr>
        <w:rPr>
          <w:rFonts w:ascii="Arial" w:hAnsi="Arial" w:cs="Arial"/>
          <w:sz w:val="22"/>
          <w:szCs w:val="22"/>
        </w:rPr>
      </w:pPr>
    </w:p>
    <w:p w:rsidR="005E7055" w:rsidRPr="008962C8" w:rsidRDefault="00D76F23" w:rsidP="00FD73D3">
      <w:pPr>
        <w:jc w:val="both"/>
        <w:rPr>
          <w:rFonts w:ascii="Arial" w:hAnsi="Arial" w:cs="Arial"/>
          <w:b/>
          <w:sz w:val="22"/>
          <w:szCs w:val="22"/>
        </w:rPr>
      </w:pPr>
      <w:r w:rsidRPr="008962C8">
        <w:rPr>
          <w:rFonts w:ascii="Arial" w:hAnsi="Arial" w:cs="Arial"/>
          <w:b/>
          <w:sz w:val="22"/>
          <w:szCs w:val="22"/>
        </w:rPr>
        <w:t>Begründung</w:t>
      </w:r>
    </w:p>
    <w:p w:rsidR="00FD73D3" w:rsidRPr="008962C8" w:rsidRDefault="00FD73D3" w:rsidP="00FD73D3">
      <w:pPr>
        <w:jc w:val="both"/>
        <w:rPr>
          <w:rFonts w:ascii="Arial" w:hAnsi="Arial" w:cs="Arial"/>
          <w:b/>
          <w:sz w:val="22"/>
          <w:szCs w:val="22"/>
        </w:rPr>
      </w:pPr>
    </w:p>
    <w:p w:rsidR="000F23FA" w:rsidRPr="008962C8" w:rsidRDefault="00463D92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Die Voraussetzungen für die Schlussfeststellung nach § 149 FlurbG liegen vor. Die Ausführung des Flurbereinigungsplanes ist in tatsächlicher und rechtlicher Hinsicht bewirkt, insbesondere sind alle Anträge, Widersprüche und Klagen der Beteiligten erledigt</w:t>
      </w:r>
      <w:r w:rsidR="00220D31" w:rsidRPr="008962C8">
        <w:rPr>
          <w:rFonts w:ascii="Arial" w:hAnsi="Arial" w:cs="Arial"/>
          <w:sz w:val="22"/>
          <w:szCs w:val="22"/>
        </w:rPr>
        <w:t xml:space="preserve">. Das Grundbuch </w:t>
      </w:r>
      <w:r w:rsidR="00C729D4" w:rsidRPr="008962C8">
        <w:rPr>
          <w:rFonts w:ascii="Arial" w:hAnsi="Arial" w:cs="Arial"/>
          <w:sz w:val="22"/>
          <w:szCs w:val="22"/>
        </w:rPr>
        <w:t xml:space="preserve">und das Liegenschaftskataster </w:t>
      </w:r>
      <w:r w:rsidR="00220D31" w:rsidRPr="008962C8">
        <w:rPr>
          <w:rFonts w:ascii="Arial" w:hAnsi="Arial" w:cs="Arial"/>
          <w:sz w:val="22"/>
          <w:szCs w:val="22"/>
        </w:rPr>
        <w:t>wurde</w:t>
      </w:r>
      <w:r w:rsidR="00C729D4" w:rsidRPr="008962C8">
        <w:rPr>
          <w:rFonts w:ascii="Arial" w:hAnsi="Arial" w:cs="Arial"/>
          <w:sz w:val="22"/>
          <w:szCs w:val="22"/>
        </w:rPr>
        <w:t>n</w:t>
      </w:r>
      <w:r w:rsidR="00220D31" w:rsidRPr="008962C8">
        <w:rPr>
          <w:rFonts w:ascii="Arial" w:hAnsi="Arial" w:cs="Arial"/>
          <w:sz w:val="22"/>
          <w:szCs w:val="22"/>
        </w:rPr>
        <w:t xml:space="preserve"> nach den Ergebnissen des Flurbereinigungsverfahrens berichtigt. Damit ist </w:t>
      </w:r>
      <w:r w:rsidRPr="008962C8">
        <w:rPr>
          <w:rFonts w:ascii="Arial" w:hAnsi="Arial" w:cs="Arial"/>
          <w:sz w:val="22"/>
          <w:szCs w:val="22"/>
        </w:rPr>
        <w:t>d</w:t>
      </w:r>
      <w:r w:rsidR="00CC0C09" w:rsidRPr="008962C8">
        <w:rPr>
          <w:rFonts w:ascii="Arial" w:hAnsi="Arial" w:cs="Arial"/>
          <w:sz w:val="22"/>
          <w:szCs w:val="22"/>
        </w:rPr>
        <w:t>as Flurberei</w:t>
      </w:r>
      <w:r w:rsidR="00E6631E" w:rsidRPr="008962C8">
        <w:rPr>
          <w:rFonts w:ascii="Arial" w:hAnsi="Arial" w:cs="Arial"/>
          <w:sz w:val="22"/>
          <w:szCs w:val="22"/>
        </w:rPr>
        <w:t>nigungsverfahren abgeschlossen.</w:t>
      </w:r>
    </w:p>
    <w:p w:rsidR="00BA2AB2" w:rsidRPr="008962C8" w:rsidRDefault="00BA2AB2" w:rsidP="00FD73D3">
      <w:pPr>
        <w:jc w:val="both"/>
        <w:rPr>
          <w:rFonts w:ascii="Arial" w:hAnsi="Arial" w:cs="Arial"/>
          <w:sz w:val="22"/>
          <w:szCs w:val="22"/>
        </w:rPr>
      </w:pPr>
    </w:p>
    <w:p w:rsidR="00A31BC2" w:rsidRPr="008962C8" w:rsidRDefault="00A31BC2" w:rsidP="00FD73D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62C8">
        <w:rPr>
          <w:rFonts w:ascii="Arial" w:eastAsiaTheme="minorHAnsi" w:hAnsi="Arial" w:cs="Arial"/>
          <w:sz w:val="22"/>
          <w:szCs w:val="22"/>
          <w:lang w:eastAsia="en-US"/>
        </w:rPr>
        <w:t>Die neu geschaffenen gemeinschaftlichen und öffentlichen Anlagen sind de</w:t>
      </w:r>
      <w:r w:rsidR="00535283" w:rsidRPr="008962C8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8962C8">
        <w:rPr>
          <w:rFonts w:ascii="Arial" w:eastAsiaTheme="minorHAnsi" w:hAnsi="Arial" w:cs="Arial"/>
          <w:sz w:val="22"/>
          <w:szCs w:val="22"/>
          <w:lang w:eastAsia="en-US"/>
        </w:rPr>
        <w:t xml:space="preserve"> Unterhaltungspflichtigen</w:t>
      </w:r>
      <w:r w:rsidR="00535283" w:rsidRPr="008962C8">
        <w:rPr>
          <w:rFonts w:ascii="Arial" w:eastAsiaTheme="minorHAnsi" w:hAnsi="Arial" w:cs="Arial"/>
          <w:sz w:val="22"/>
          <w:szCs w:val="22"/>
          <w:lang w:eastAsia="en-US"/>
        </w:rPr>
        <w:t xml:space="preserve"> – d</w:t>
      </w:r>
      <w:r w:rsidR="008962C8">
        <w:rPr>
          <w:rFonts w:ascii="Arial" w:eastAsiaTheme="minorHAnsi" w:hAnsi="Arial" w:cs="Arial"/>
          <w:sz w:val="22"/>
          <w:szCs w:val="22"/>
          <w:lang w:eastAsia="en-US"/>
        </w:rPr>
        <w:t>er Lutherstadt Eisleben</w:t>
      </w:r>
      <w:r w:rsidR="00535283" w:rsidRPr="008962C8"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Pr="008962C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35283" w:rsidRPr="008962C8">
        <w:rPr>
          <w:rFonts w:ascii="Arial" w:eastAsiaTheme="minorHAnsi" w:hAnsi="Arial" w:cs="Arial"/>
          <w:sz w:val="22"/>
          <w:szCs w:val="22"/>
          <w:lang w:eastAsia="en-US"/>
        </w:rPr>
        <w:t xml:space="preserve">in das Eigentum </w:t>
      </w:r>
      <w:r w:rsidR="00FD53F1" w:rsidRPr="008962C8">
        <w:rPr>
          <w:rFonts w:ascii="Arial" w:eastAsiaTheme="minorHAnsi" w:hAnsi="Arial" w:cs="Arial"/>
          <w:sz w:val="22"/>
          <w:szCs w:val="22"/>
          <w:lang w:eastAsia="en-US"/>
        </w:rPr>
        <w:t>und</w:t>
      </w:r>
      <w:r w:rsidR="00535283" w:rsidRPr="008962C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962C8">
        <w:rPr>
          <w:rFonts w:ascii="Arial" w:eastAsiaTheme="minorHAnsi" w:hAnsi="Arial" w:cs="Arial"/>
          <w:sz w:val="22"/>
          <w:szCs w:val="22"/>
          <w:lang w:eastAsia="en-US"/>
        </w:rPr>
        <w:t>in die Unterhaltung übergeben worden.</w:t>
      </w:r>
    </w:p>
    <w:p w:rsidR="00A31BC2" w:rsidRPr="008962C8" w:rsidRDefault="00A31BC2" w:rsidP="00FD73D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0841" w:rsidRPr="008962C8" w:rsidRDefault="00BA2AB2" w:rsidP="00FD73D3">
      <w:pPr>
        <w:jc w:val="both"/>
        <w:rPr>
          <w:rFonts w:ascii="Arial" w:hAnsi="Arial" w:cs="Arial"/>
          <w:sz w:val="22"/>
          <w:szCs w:val="22"/>
        </w:rPr>
      </w:pPr>
      <w:r w:rsidRPr="00053265">
        <w:rPr>
          <w:rFonts w:ascii="Arial" w:hAnsi="Arial" w:cs="Arial"/>
          <w:sz w:val="22"/>
          <w:szCs w:val="22"/>
        </w:rPr>
        <w:t>Für die</w:t>
      </w:r>
      <w:r w:rsidR="00CC0C09" w:rsidRPr="00053265">
        <w:rPr>
          <w:rFonts w:ascii="Arial" w:hAnsi="Arial" w:cs="Arial"/>
          <w:sz w:val="22"/>
          <w:szCs w:val="22"/>
        </w:rPr>
        <w:t xml:space="preserve"> T</w:t>
      </w:r>
      <w:r w:rsidR="00C259C0" w:rsidRPr="00053265">
        <w:rPr>
          <w:rFonts w:ascii="Arial" w:hAnsi="Arial" w:cs="Arial"/>
          <w:sz w:val="22"/>
          <w:szCs w:val="22"/>
        </w:rPr>
        <w:t>eilnehmergemeinschaft „</w:t>
      </w:r>
      <w:r w:rsidR="008962C8" w:rsidRPr="00053265">
        <w:rPr>
          <w:rFonts w:ascii="Arial" w:hAnsi="Arial" w:cs="Arial"/>
          <w:sz w:val="22"/>
          <w:szCs w:val="22"/>
        </w:rPr>
        <w:t xml:space="preserve">Osterhausen (A38)“ </w:t>
      </w:r>
      <w:r w:rsidR="008F0B73" w:rsidRPr="00053265">
        <w:rPr>
          <w:rFonts w:ascii="Arial" w:hAnsi="Arial" w:cs="Arial"/>
          <w:sz w:val="22"/>
          <w:szCs w:val="22"/>
        </w:rPr>
        <w:t>(</w:t>
      </w:r>
      <w:r w:rsidRPr="00053265">
        <w:rPr>
          <w:rFonts w:ascii="Arial" w:hAnsi="Arial" w:cs="Arial"/>
          <w:sz w:val="22"/>
          <w:szCs w:val="22"/>
        </w:rPr>
        <w:t>im Weiteren „TG“</w:t>
      </w:r>
      <w:r w:rsidR="008F0B73" w:rsidRPr="00053265">
        <w:rPr>
          <w:rFonts w:ascii="Arial" w:hAnsi="Arial" w:cs="Arial"/>
          <w:sz w:val="22"/>
          <w:szCs w:val="22"/>
        </w:rPr>
        <w:t xml:space="preserve">) </w:t>
      </w:r>
      <w:r w:rsidR="005E6FCA" w:rsidRPr="00053265">
        <w:rPr>
          <w:rFonts w:ascii="Arial" w:hAnsi="Arial" w:cs="Arial"/>
          <w:sz w:val="22"/>
          <w:szCs w:val="22"/>
        </w:rPr>
        <w:t>laufen jedoch</w:t>
      </w:r>
      <w:r w:rsidRPr="00053265">
        <w:rPr>
          <w:rFonts w:ascii="Arial" w:hAnsi="Arial" w:cs="Arial"/>
          <w:sz w:val="22"/>
          <w:szCs w:val="22"/>
        </w:rPr>
        <w:t xml:space="preserve"> </w:t>
      </w:r>
      <w:r w:rsidR="00CC0C09" w:rsidRPr="00053265">
        <w:rPr>
          <w:rFonts w:ascii="Arial" w:hAnsi="Arial" w:cs="Arial"/>
          <w:sz w:val="22"/>
          <w:szCs w:val="22"/>
        </w:rPr>
        <w:t xml:space="preserve">noch </w:t>
      </w:r>
      <w:r w:rsidR="005E6FCA" w:rsidRPr="00053265">
        <w:rPr>
          <w:rFonts w:ascii="Arial" w:hAnsi="Arial" w:cs="Arial"/>
          <w:sz w:val="22"/>
          <w:szCs w:val="22"/>
        </w:rPr>
        <w:t xml:space="preserve">Verpflichtungen für die von ihr durchgeführten Baumaßnahmen </w:t>
      </w:r>
      <w:r w:rsidR="00053265" w:rsidRPr="00053265">
        <w:rPr>
          <w:rFonts w:ascii="Arial" w:hAnsi="Arial" w:cs="Arial"/>
          <w:sz w:val="22"/>
          <w:szCs w:val="22"/>
        </w:rPr>
        <w:t>W02a, W14a, W23</w:t>
      </w:r>
      <w:r w:rsidR="005E6FCA" w:rsidRPr="00053265">
        <w:rPr>
          <w:rFonts w:ascii="Arial" w:hAnsi="Arial" w:cs="Arial"/>
          <w:sz w:val="22"/>
          <w:szCs w:val="22"/>
        </w:rPr>
        <w:t>, die sich aus den gewährten Zuwendungen zur</w:t>
      </w:r>
      <w:r w:rsidR="005E6FCA" w:rsidRPr="008962C8">
        <w:rPr>
          <w:rFonts w:ascii="Arial" w:hAnsi="Arial" w:cs="Arial"/>
          <w:sz w:val="22"/>
          <w:szCs w:val="22"/>
        </w:rPr>
        <w:t xml:space="preserve"> Förderung der regionalen ländlichen Entwicklung in Sachsen-Anhalt (RELE) ergeben.</w:t>
      </w:r>
    </w:p>
    <w:p w:rsidR="005E6FCA" w:rsidRPr="008962C8" w:rsidRDefault="005E6FCA" w:rsidP="00FD73D3">
      <w:pPr>
        <w:jc w:val="both"/>
        <w:rPr>
          <w:rFonts w:ascii="Arial" w:hAnsi="Arial" w:cs="Arial"/>
          <w:sz w:val="22"/>
          <w:szCs w:val="22"/>
        </w:rPr>
      </w:pPr>
    </w:p>
    <w:p w:rsidR="000702DD" w:rsidRPr="008962C8" w:rsidRDefault="005E6FCA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 xml:space="preserve">Die noch </w:t>
      </w:r>
      <w:r w:rsidR="000702DD" w:rsidRPr="008962C8">
        <w:rPr>
          <w:rFonts w:ascii="Arial" w:hAnsi="Arial" w:cs="Arial"/>
          <w:sz w:val="22"/>
          <w:szCs w:val="22"/>
        </w:rPr>
        <w:t>laufenden</w:t>
      </w:r>
      <w:r w:rsidRPr="008962C8">
        <w:rPr>
          <w:rFonts w:ascii="Arial" w:hAnsi="Arial" w:cs="Arial"/>
          <w:sz w:val="22"/>
          <w:szCs w:val="22"/>
        </w:rPr>
        <w:t xml:space="preserve"> Verpflichtungen folgen aus den Nebenbestimmungen de</w:t>
      </w:r>
      <w:r w:rsidR="00F55BA6" w:rsidRPr="008962C8">
        <w:rPr>
          <w:rFonts w:ascii="Arial" w:hAnsi="Arial" w:cs="Arial"/>
          <w:sz w:val="22"/>
          <w:szCs w:val="22"/>
        </w:rPr>
        <w:t>r</w:t>
      </w:r>
      <w:r w:rsidRPr="008962C8">
        <w:rPr>
          <w:rFonts w:ascii="Arial" w:hAnsi="Arial" w:cs="Arial"/>
          <w:sz w:val="22"/>
          <w:szCs w:val="22"/>
        </w:rPr>
        <w:t xml:space="preserve"> einzelnen Zuwendungsbescheide </w:t>
      </w:r>
      <w:r w:rsidR="000702DD" w:rsidRPr="008962C8">
        <w:rPr>
          <w:rFonts w:ascii="Arial" w:hAnsi="Arial" w:cs="Arial"/>
          <w:sz w:val="22"/>
          <w:szCs w:val="22"/>
        </w:rPr>
        <w:t>zu den</w:t>
      </w:r>
      <w:r w:rsidRPr="008962C8">
        <w:rPr>
          <w:rFonts w:ascii="Arial" w:hAnsi="Arial" w:cs="Arial"/>
          <w:sz w:val="22"/>
          <w:szCs w:val="22"/>
        </w:rPr>
        <w:t xml:space="preserve"> durchgeführten Baumaßnahmen, </w:t>
      </w:r>
      <w:r w:rsidR="00F55BA6" w:rsidRPr="008962C8">
        <w:rPr>
          <w:rFonts w:ascii="Arial" w:hAnsi="Arial" w:cs="Arial"/>
          <w:sz w:val="22"/>
          <w:szCs w:val="22"/>
        </w:rPr>
        <w:t>insbesondere</w:t>
      </w:r>
      <w:r w:rsidR="000702DD" w:rsidRPr="008962C8">
        <w:rPr>
          <w:rFonts w:ascii="Arial" w:hAnsi="Arial" w:cs="Arial"/>
          <w:color w:val="00B0F0"/>
          <w:sz w:val="22"/>
          <w:szCs w:val="22"/>
        </w:rPr>
        <w:t xml:space="preserve"> </w:t>
      </w:r>
      <w:r w:rsidR="000702DD" w:rsidRPr="008962C8">
        <w:rPr>
          <w:rFonts w:ascii="Arial" w:hAnsi="Arial" w:cs="Arial"/>
          <w:sz w:val="22"/>
          <w:szCs w:val="22"/>
        </w:rPr>
        <w:t>erfolgte die Förderung unter dem Vorbehalt des Widerrufs für den Fall, dass die geförderten Grundstücke, Bauten und baulichen Anlagen, Ausgle</w:t>
      </w:r>
      <w:r w:rsidR="00E6631E" w:rsidRPr="008962C8">
        <w:rPr>
          <w:rFonts w:ascii="Arial" w:hAnsi="Arial" w:cs="Arial"/>
          <w:sz w:val="22"/>
          <w:szCs w:val="22"/>
        </w:rPr>
        <w:t>ichs- und Ersatzmaßnahmen sowie</w:t>
      </w:r>
      <w:r w:rsidR="000702DD" w:rsidRPr="008962C8">
        <w:rPr>
          <w:rFonts w:ascii="Arial" w:hAnsi="Arial" w:cs="Arial"/>
          <w:sz w:val="22"/>
          <w:szCs w:val="22"/>
        </w:rPr>
        <w:t xml:space="preserve"> landschaftspflegerische Maßnahmen gemäß Planfeststellungsbeschluss/Plangenehmigung, innerhalb eines Zeitraums von zwölf Jahren ab Fertigstellung nicht mehr dem Zuwendungszweck entsprechend verwendet werden.</w:t>
      </w:r>
      <w:r w:rsidR="000702DD" w:rsidRPr="008962C8">
        <w:rPr>
          <w:rFonts w:ascii="Arial" w:hAnsi="Arial" w:cs="Arial"/>
          <w:color w:val="00B0F0"/>
          <w:sz w:val="22"/>
          <w:szCs w:val="22"/>
        </w:rPr>
        <w:t xml:space="preserve"> </w:t>
      </w:r>
      <w:r w:rsidR="000702DD" w:rsidRPr="008962C8">
        <w:rPr>
          <w:rFonts w:ascii="Arial" w:hAnsi="Arial" w:cs="Arial"/>
          <w:sz w:val="22"/>
          <w:szCs w:val="22"/>
        </w:rPr>
        <w:t>Die zweckentsprechende Verwendung umfasst, dass innerhalb dieses Zeitraumes die Fördergegenstände in einem ordnungsgemäßen Zustand erhalten und die im Antrag dargelegte Verwendung nachhaltig beibehalten wird. Änderungen sind de</w:t>
      </w:r>
      <w:r w:rsidR="00FD53F1" w:rsidRPr="008962C8">
        <w:rPr>
          <w:rFonts w:ascii="Arial" w:hAnsi="Arial" w:cs="Arial"/>
          <w:sz w:val="22"/>
          <w:szCs w:val="22"/>
        </w:rPr>
        <w:t>m</w:t>
      </w:r>
      <w:r w:rsidR="000702DD" w:rsidRPr="008962C8">
        <w:rPr>
          <w:rFonts w:ascii="Arial" w:hAnsi="Arial" w:cs="Arial"/>
          <w:sz w:val="22"/>
          <w:szCs w:val="22"/>
        </w:rPr>
        <w:t xml:space="preserve"> </w:t>
      </w:r>
      <w:r w:rsidR="00FD53F1" w:rsidRPr="008962C8">
        <w:rPr>
          <w:rFonts w:ascii="Arial" w:hAnsi="Arial" w:cs="Arial"/>
          <w:sz w:val="22"/>
          <w:szCs w:val="22"/>
        </w:rPr>
        <w:t xml:space="preserve">Amt für </w:t>
      </w:r>
      <w:r w:rsidR="00FD53F1" w:rsidRPr="008962C8">
        <w:rPr>
          <w:rFonts w:ascii="Arial" w:hAnsi="Arial" w:cs="Arial"/>
          <w:sz w:val="22"/>
          <w:szCs w:val="22"/>
        </w:rPr>
        <w:lastRenderedPageBreak/>
        <w:t xml:space="preserve">Landwirtschaft, Flurneuordnung und Forsten Süd </w:t>
      </w:r>
      <w:r w:rsidR="000702DD" w:rsidRPr="008962C8">
        <w:rPr>
          <w:rFonts w:ascii="Arial" w:hAnsi="Arial" w:cs="Arial"/>
          <w:sz w:val="22"/>
          <w:szCs w:val="22"/>
        </w:rPr>
        <w:t>unverzüglich anzuzeigen. Nach Ablauf dieser Frist bestehen keine Verfügungsbeschränkungen mehr. Weiterhin besteht die Verpflichtung, Prüfungsberechtigungen verschiedener Prüforgane hinsichtlich der Mittelverwendung alle erforderlichen Unterlagen zur Verfügung zu stellen und Aus</w:t>
      </w:r>
      <w:r w:rsidR="00405E41" w:rsidRPr="008962C8">
        <w:rPr>
          <w:rFonts w:ascii="Arial" w:hAnsi="Arial" w:cs="Arial"/>
          <w:sz w:val="22"/>
          <w:szCs w:val="22"/>
        </w:rPr>
        <w:t>künfte zu erteilen sowie die förderrelevanten Unterlagen fristgerecht aufzubewahren.</w:t>
      </w:r>
    </w:p>
    <w:p w:rsidR="005E6FCA" w:rsidRPr="008962C8" w:rsidRDefault="005E6FCA" w:rsidP="00FD73D3">
      <w:pPr>
        <w:jc w:val="both"/>
        <w:rPr>
          <w:rFonts w:ascii="Arial" w:hAnsi="Arial" w:cs="Arial"/>
          <w:sz w:val="22"/>
          <w:szCs w:val="22"/>
        </w:rPr>
      </w:pPr>
    </w:p>
    <w:p w:rsidR="00F55BA6" w:rsidRPr="008962C8" w:rsidRDefault="000702DD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 xml:space="preserve">Diese laufenden Verpflichtungen aus den Zuwendungsbescheiden werden mit der Schlussfeststellung auf die Stadt </w:t>
      </w:r>
      <w:r w:rsidR="008962C8">
        <w:rPr>
          <w:rFonts w:ascii="Arial" w:hAnsi="Arial" w:cs="Arial"/>
          <w:sz w:val="22"/>
          <w:szCs w:val="22"/>
        </w:rPr>
        <w:t>Eisleben</w:t>
      </w:r>
      <w:r w:rsidRPr="008962C8">
        <w:rPr>
          <w:rFonts w:ascii="Arial" w:hAnsi="Arial" w:cs="Arial"/>
          <w:sz w:val="22"/>
          <w:szCs w:val="22"/>
        </w:rPr>
        <w:t xml:space="preserve"> übertragen, so dass </w:t>
      </w:r>
      <w:r w:rsidR="005C3186" w:rsidRPr="008962C8">
        <w:rPr>
          <w:rFonts w:ascii="Arial" w:hAnsi="Arial" w:cs="Arial"/>
          <w:sz w:val="22"/>
          <w:szCs w:val="22"/>
        </w:rPr>
        <w:t>d</w:t>
      </w:r>
      <w:r w:rsidRPr="008962C8">
        <w:rPr>
          <w:rFonts w:ascii="Arial" w:hAnsi="Arial" w:cs="Arial"/>
          <w:sz w:val="22"/>
          <w:szCs w:val="22"/>
        </w:rPr>
        <w:t>ie</w:t>
      </w:r>
      <w:r w:rsidR="005C3186" w:rsidRPr="008962C8">
        <w:rPr>
          <w:rFonts w:ascii="Arial" w:hAnsi="Arial" w:cs="Arial"/>
          <w:sz w:val="22"/>
          <w:szCs w:val="22"/>
        </w:rPr>
        <w:t xml:space="preserve"> </w:t>
      </w:r>
      <w:r w:rsidR="008962C8">
        <w:rPr>
          <w:rFonts w:ascii="Arial" w:hAnsi="Arial" w:cs="Arial"/>
          <w:sz w:val="22"/>
          <w:szCs w:val="22"/>
        </w:rPr>
        <w:t xml:space="preserve">Lutherstadt Eisleben </w:t>
      </w:r>
      <w:r w:rsidR="005C3186" w:rsidRPr="008962C8">
        <w:rPr>
          <w:rFonts w:ascii="Arial" w:hAnsi="Arial" w:cs="Arial"/>
          <w:sz w:val="22"/>
          <w:szCs w:val="22"/>
        </w:rPr>
        <w:t xml:space="preserve">in </w:t>
      </w:r>
      <w:r w:rsidR="00FD53F1" w:rsidRPr="008962C8">
        <w:rPr>
          <w:rFonts w:ascii="Arial" w:hAnsi="Arial" w:cs="Arial"/>
          <w:sz w:val="22"/>
          <w:szCs w:val="22"/>
        </w:rPr>
        <w:t>alle</w:t>
      </w:r>
      <w:r w:rsidR="00F55BA6" w:rsidRPr="008962C8">
        <w:rPr>
          <w:rFonts w:ascii="Arial" w:hAnsi="Arial" w:cs="Arial"/>
          <w:sz w:val="22"/>
          <w:szCs w:val="22"/>
        </w:rPr>
        <w:t xml:space="preserve"> Verpflichtungen bis zum Ablauf der genannten Zweckbindungsfristen</w:t>
      </w:r>
      <w:r w:rsidR="005C3186" w:rsidRPr="008962C8">
        <w:rPr>
          <w:rFonts w:ascii="Arial" w:hAnsi="Arial" w:cs="Arial"/>
          <w:sz w:val="22"/>
          <w:szCs w:val="22"/>
        </w:rPr>
        <w:t xml:space="preserve"> an</w:t>
      </w:r>
      <w:r w:rsidR="00FD53F1" w:rsidRPr="008962C8">
        <w:rPr>
          <w:rFonts w:ascii="Arial" w:hAnsi="Arial" w:cs="Arial"/>
          <w:sz w:val="22"/>
          <w:szCs w:val="22"/>
        </w:rPr>
        <w:t xml:space="preserve"> die St</w:t>
      </w:r>
      <w:r w:rsidR="005C3186" w:rsidRPr="008962C8">
        <w:rPr>
          <w:rFonts w:ascii="Arial" w:hAnsi="Arial" w:cs="Arial"/>
          <w:sz w:val="22"/>
          <w:szCs w:val="22"/>
        </w:rPr>
        <w:t xml:space="preserve">elle der TG </w:t>
      </w:r>
      <w:r w:rsidR="002E36CD" w:rsidRPr="008962C8">
        <w:rPr>
          <w:rFonts w:ascii="Arial" w:hAnsi="Arial" w:cs="Arial"/>
          <w:sz w:val="22"/>
          <w:szCs w:val="22"/>
        </w:rPr>
        <w:t>„</w:t>
      </w:r>
      <w:r w:rsidR="008962C8">
        <w:rPr>
          <w:rFonts w:ascii="Arial" w:hAnsi="Arial" w:cs="Arial"/>
          <w:sz w:val="22"/>
          <w:szCs w:val="22"/>
        </w:rPr>
        <w:t>Osterhausen (A38)</w:t>
      </w:r>
      <w:r w:rsidR="002E36CD" w:rsidRPr="008962C8">
        <w:rPr>
          <w:rFonts w:ascii="Arial" w:hAnsi="Arial" w:cs="Arial"/>
          <w:sz w:val="22"/>
          <w:szCs w:val="22"/>
        </w:rPr>
        <w:t xml:space="preserve">“ </w:t>
      </w:r>
      <w:r w:rsidR="005C3186" w:rsidRPr="008962C8">
        <w:rPr>
          <w:rFonts w:ascii="Arial" w:hAnsi="Arial" w:cs="Arial"/>
          <w:sz w:val="22"/>
          <w:szCs w:val="22"/>
        </w:rPr>
        <w:t>eintritt</w:t>
      </w:r>
      <w:r w:rsidR="00F55BA6" w:rsidRPr="008962C8">
        <w:rPr>
          <w:rFonts w:ascii="Arial" w:hAnsi="Arial" w:cs="Arial"/>
          <w:sz w:val="22"/>
          <w:szCs w:val="22"/>
        </w:rPr>
        <w:t>.</w:t>
      </w:r>
      <w:r w:rsidR="005C3186" w:rsidRPr="008962C8">
        <w:rPr>
          <w:rFonts w:ascii="Arial" w:hAnsi="Arial" w:cs="Arial"/>
          <w:sz w:val="22"/>
          <w:szCs w:val="22"/>
        </w:rPr>
        <w:t xml:space="preserve"> Zu diesem Zwecke w</w:t>
      </w:r>
      <w:r w:rsidR="00C729D4" w:rsidRPr="008962C8">
        <w:rPr>
          <w:rFonts w:ascii="Arial" w:hAnsi="Arial" w:cs="Arial"/>
          <w:sz w:val="22"/>
          <w:szCs w:val="22"/>
        </w:rPr>
        <w:t>u</w:t>
      </w:r>
      <w:r w:rsidR="005C3186" w:rsidRPr="008962C8">
        <w:rPr>
          <w:rFonts w:ascii="Arial" w:hAnsi="Arial" w:cs="Arial"/>
          <w:sz w:val="22"/>
          <w:szCs w:val="22"/>
        </w:rPr>
        <w:t xml:space="preserve">rden die erforderlichen Unterlagen aus den Fördermaßnahmen der </w:t>
      </w:r>
      <w:r w:rsidR="008962C8">
        <w:rPr>
          <w:rFonts w:ascii="Arial" w:hAnsi="Arial" w:cs="Arial"/>
          <w:sz w:val="22"/>
          <w:szCs w:val="22"/>
        </w:rPr>
        <w:t>Lutherstadt</w:t>
      </w:r>
      <w:r w:rsidR="005C3186" w:rsidRPr="008962C8">
        <w:rPr>
          <w:rFonts w:ascii="Arial" w:hAnsi="Arial" w:cs="Arial"/>
          <w:sz w:val="22"/>
          <w:szCs w:val="22"/>
        </w:rPr>
        <w:t xml:space="preserve"> </w:t>
      </w:r>
      <w:r w:rsidR="008962C8">
        <w:rPr>
          <w:rFonts w:ascii="Arial" w:hAnsi="Arial" w:cs="Arial"/>
          <w:sz w:val="22"/>
          <w:szCs w:val="22"/>
        </w:rPr>
        <w:t>Eisleben</w:t>
      </w:r>
      <w:r w:rsidR="002F12F8" w:rsidRPr="008962C8">
        <w:rPr>
          <w:rFonts w:ascii="Arial" w:hAnsi="Arial" w:cs="Arial"/>
          <w:sz w:val="22"/>
          <w:szCs w:val="22"/>
        </w:rPr>
        <w:t xml:space="preserve"> übergeben.</w:t>
      </w:r>
    </w:p>
    <w:p w:rsidR="00F55BA6" w:rsidRPr="008962C8" w:rsidRDefault="00F55BA6" w:rsidP="00FD73D3">
      <w:pPr>
        <w:jc w:val="both"/>
        <w:rPr>
          <w:rFonts w:ascii="Arial" w:hAnsi="Arial" w:cs="Arial"/>
          <w:sz w:val="22"/>
          <w:szCs w:val="22"/>
        </w:rPr>
      </w:pPr>
    </w:p>
    <w:p w:rsidR="00BA2AB2" w:rsidRPr="008962C8" w:rsidRDefault="0013089E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 xml:space="preserve">Mit Übertragung der Verpflichtungen aus den Zuwendungsbescheiden auf die </w:t>
      </w:r>
      <w:r w:rsidR="008962C8">
        <w:rPr>
          <w:rFonts w:ascii="Arial" w:hAnsi="Arial" w:cs="Arial"/>
          <w:sz w:val="22"/>
          <w:szCs w:val="22"/>
        </w:rPr>
        <w:t>Lutherstadt Eisleben</w:t>
      </w:r>
      <w:r w:rsidRPr="008962C8">
        <w:rPr>
          <w:rFonts w:ascii="Arial" w:hAnsi="Arial" w:cs="Arial"/>
          <w:sz w:val="22"/>
          <w:szCs w:val="22"/>
        </w:rPr>
        <w:t xml:space="preserve"> ist festzustellen, dass die Aufgaben der T</w:t>
      </w:r>
      <w:r w:rsidR="00BA2AB2" w:rsidRPr="008962C8">
        <w:rPr>
          <w:rFonts w:ascii="Arial" w:hAnsi="Arial" w:cs="Arial"/>
          <w:sz w:val="22"/>
          <w:szCs w:val="22"/>
        </w:rPr>
        <w:t>G</w:t>
      </w:r>
      <w:r w:rsidRPr="008962C8">
        <w:rPr>
          <w:rFonts w:ascii="Arial" w:hAnsi="Arial" w:cs="Arial"/>
          <w:sz w:val="22"/>
          <w:szCs w:val="22"/>
        </w:rPr>
        <w:t xml:space="preserve"> abgeschlossen sind.</w:t>
      </w:r>
      <w:r w:rsidR="00535283" w:rsidRPr="008962C8">
        <w:rPr>
          <w:rFonts w:ascii="Arial" w:hAnsi="Arial" w:cs="Arial"/>
          <w:sz w:val="22"/>
          <w:szCs w:val="22"/>
        </w:rPr>
        <w:t xml:space="preserve"> </w:t>
      </w:r>
      <w:r w:rsidR="00BA2AB2" w:rsidRPr="008962C8">
        <w:rPr>
          <w:rFonts w:ascii="Arial" w:hAnsi="Arial" w:cs="Arial"/>
          <w:sz w:val="22"/>
          <w:szCs w:val="22"/>
        </w:rPr>
        <w:t>Weitere Aufgaben, die die TG noch zu erfüllen hat, sind nicht bekannt.</w:t>
      </w:r>
    </w:p>
    <w:p w:rsidR="00BA2AB2" w:rsidRPr="008962C8" w:rsidRDefault="00BA2AB2" w:rsidP="00FD73D3">
      <w:pPr>
        <w:jc w:val="both"/>
        <w:rPr>
          <w:rFonts w:ascii="Arial" w:hAnsi="Arial" w:cs="Arial"/>
          <w:sz w:val="22"/>
          <w:szCs w:val="22"/>
        </w:rPr>
      </w:pPr>
    </w:p>
    <w:p w:rsidR="00BA2AB2" w:rsidRPr="008962C8" w:rsidRDefault="00BA2AB2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Die Kasse der TG w</w:t>
      </w:r>
      <w:r w:rsidR="00C729D4" w:rsidRPr="008962C8">
        <w:rPr>
          <w:rFonts w:ascii="Arial" w:hAnsi="Arial" w:cs="Arial"/>
          <w:sz w:val="22"/>
          <w:szCs w:val="22"/>
        </w:rPr>
        <w:t>u</w:t>
      </w:r>
      <w:r w:rsidRPr="008962C8">
        <w:rPr>
          <w:rFonts w:ascii="Arial" w:hAnsi="Arial" w:cs="Arial"/>
          <w:sz w:val="22"/>
          <w:szCs w:val="22"/>
        </w:rPr>
        <w:t>rd</w:t>
      </w:r>
      <w:r w:rsidR="00C729D4" w:rsidRPr="008962C8">
        <w:rPr>
          <w:rFonts w:ascii="Arial" w:hAnsi="Arial" w:cs="Arial"/>
          <w:sz w:val="22"/>
          <w:szCs w:val="22"/>
        </w:rPr>
        <w:t>e</w:t>
      </w:r>
      <w:r w:rsidRPr="008962C8">
        <w:rPr>
          <w:rFonts w:ascii="Arial" w:hAnsi="Arial" w:cs="Arial"/>
          <w:sz w:val="22"/>
          <w:szCs w:val="22"/>
        </w:rPr>
        <w:t xml:space="preserve"> ordnungsgemäß</w:t>
      </w:r>
      <w:r w:rsidR="00061980" w:rsidRPr="008962C8">
        <w:rPr>
          <w:rFonts w:ascii="Arial" w:hAnsi="Arial" w:cs="Arial"/>
          <w:sz w:val="22"/>
          <w:szCs w:val="22"/>
        </w:rPr>
        <w:t xml:space="preserve"> abgeschlossen. Der verbl</w:t>
      </w:r>
      <w:r w:rsidR="00452D4F" w:rsidRPr="008962C8">
        <w:rPr>
          <w:rFonts w:ascii="Arial" w:hAnsi="Arial" w:cs="Arial"/>
          <w:sz w:val="22"/>
          <w:szCs w:val="22"/>
        </w:rPr>
        <w:t>ie</w:t>
      </w:r>
      <w:r w:rsidR="00061980" w:rsidRPr="008962C8">
        <w:rPr>
          <w:rFonts w:ascii="Arial" w:hAnsi="Arial" w:cs="Arial"/>
          <w:sz w:val="22"/>
          <w:szCs w:val="22"/>
        </w:rPr>
        <w:t>bene Restkassenbestand w</w:t>
      </w:r>
      <w:r w:rsidR="00C729D4" w:rsidRPr="008962C8">
        <w:rPr>
          <w:rFonts w:ascii="Arial" w:hAnsi="Arial" w:cs="Arial"/>
          <w:sz w:val="22"/>
          <w:szCs w:val="22"/>
        </w:rPr>
        <w:t>u</w:t>
      </w:r>
      <w:r w:rsidR="00061980" w:rsidRPr="008962C8">
        <w:rPr>
          <w:rFonts w:ascii="Arial" w:hAnsi="Arial" w:cs="Arial"/>
          <w:sz w:val="22"/>
          <w:szCs w:val="22"/>
        </w:rPr>
        <w:t>rd</w:t>
      </w:r>
      <w:r w:rsidR="00C729D4" w:rsidRPr="008962C8">
        <w:rPr>
          <w:rFonts w:ascii="Arial" w:hAnsi="Arial" w:cs="Arial"/>
          <w:sz w:val="22"/>
          <w:szCs w:val="22"/>
        </w:rPr>
        <w:t>e</w:t>
      </w:r>
      <w:r w:rsidR="00061980" w:rsidRPr="008962C8">
        <w:rPr>
          <w:rFonts w:ascii="Arial" w:hAnsi="Arial" w:cs="Arial"/>
          <w:sz w:val="22"/>
          <w:szCs w:val="22"/>
        </w:rPr>
        <w:t xml:space="preserve"> der Stadt </w:t>
      </w:r>
      <w:r w:rsidR="008962C8">
        <w:rPr>
          <w:rFonts w:ascii="Arial" w:hAnsi="Arial" w:cs="Arial"/>
          <w:sz w:val="22"/>
          <w:szCs w:val="22"/>
        </w:rPr>
        <w:t xml:space="preserve">Eisleben </w:t>
      </w:r>
      <w:r w:rsidR="00061980" w:rsidRPr="008962C8">
        <w:rPr>
          <w:rFonts w:ascii="Arial" w:hAnsi="Arial" w:cs="Arial"/>
          <w:sz w:val="22"/>
          <w:szCs w:val="22"/>
        </w:rPr>
        <w:t>zweckgebunden zur Verwendung für die o. g. Maßnahmen übergeben und die Kasse aufgelöst. Der Vorstand der TG hat dieser Regelung zugestimmt.</w:t>
      </w:r>
    </w:p>
    <w:p w:rsidR="00C729D4" w:rsidRPr="008962C8" w:rsidRDefault="00C729D4" w:rsidP="00FD73D3">
      <w:pPr>
        <w:jc w:val="both"/>
        <w:rPr>
          <w:rFonts w:ascii="Arial" w:hAnsi="Arial" w:cs="Arial"/>
          <w:sz w:val="22"/>
          <w:szCs w:val="22"/>
        </w:rPr>
      </w:pPr>
    </w:p>
    <w:p w:rsidR="00C729D4" w:rsidRPr="008962C8" w:rsidRDefault="005E7055" w:rsidP="00FD73D3">
      <w:pPr>
        <w:jc w:val="both"/>
        <w:rPr>
          <w:rFonts w:ascii="Arial" w:hAnsi="Arial" w:cs="Arial"/>
          <w:b/>
          <w:sz w:val="22"/>
          <w:szCs w:val="22"/>
        </w:rPr>
      </w:pPr>
      <w:r w:rsidRPr="008962C8">
        <w:rPr>
          <w:rFonts w:ascii="Arial" w:hAnsi="Arial" w:cs="Arial"/>
          <w:b/>
          <w:sz w:val="22"/>
          <w:szCs w:val="22"/>
        </w:rPr>
        <w:t>Hinweise</w:t>
      </w:r>
    </w:p>
    <w:p w:rsidR="00C729D4" w:rsidRPr="008962C8" w:rsidRDefault="00C729D4" w:rsidP="00FD73D3">
      <w:pPr>
        <w:jc w:val="both"/>
        <w:rPr>
          <w:rFonts w:ascii="Arial" w:hAnsi="Arial" w:cs="Arial"/>
          <w:b/>
          <w:sz w:val="22"/>
          <w:szCs w:val="22"/>
        </w:rPr>
      </w:pPr>
    </w:p>
    <w:p w:rsidR="00D227F2" w:rsidRPr="008962C8" w:rsidRDefault="00D227F2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Die Schlussfeststellung wird der T</w:t>
      </w:r>
      <w:r w:rsidR="00BA2AB2" w:rsidRPr="008962C8">
        <w:rPr>
          <w:rFonts w:ascii="Arial" w:hAnsi="Arial" w:cs="Arial"/>
          <w:sz w:val="22"/>
          <w:szCs w:val="22"/>
        </w:rPr>
        <w:t>G</w:t>
      </w:r>
      <w:r w:rsidRPr="008962C8">
        <w:rPr>
          <w:rFonts w:ascii="Arial" w:hAnsi="Arial" w:cs="Arial"/>
          <w:sz w:val="22"/>
          <w:szCs w:val="22"/>
        </w:rPr>
        <w:t xml:space="preserve"> zugestellt, nachdem sie unanfechtbar geworden ist und nachdem über Anträge auf Wiederaufnahme des Verfahrens, die bis zum Ablauf der Frist für Widersprüche gegen die Schlussfeststellung gestellt worden sind, entschieden ist</w:t>
      </w:r>
      <w:r w:rsidR="00D8438D">
        <w:rPr>
          <w:rFonts w:ascii="Arial" w:hAnsi="Arial" w:cs="Arial"/>
          <w:sz w:val="22"/>
          <w:szCs w:val="22"/>
        </w:rPr>
        <w:t xml:space="preserve"> (§149 Abs. </w:t>
      </w:r>
      <w:r w:rsidR="00BA2AB2" w:rsidRPr="008962C8">
        <w:rPr>
          <w:rFonts w:ascii="Arial" w:hAnsi="Arial" w:cs="Arial"/>
          <w:sz w:val="22"/>
          <w:szCs w:val="22"/>
        </w:rPr>
        <w:t xml:space="preserve">2 </w:t>
      </w:r>
      <w:r w:rsidRPr="008962C8">
        <w:rPr>
          <w:rFonts w:ascii="Arial" w:hAnsi="Arial" w:cs="Arial"/>
          <w:sz w:val="22"/>
          <w:szCs w:val="22"/>
        </w:rPr>
        <w:t>FlurbG).</w:t>
      </w:r>
      <w:r w:rsidR="009E640C">
        <w:rPr>
          <w:rFonts w:ascii="Arial" w:hAnsi="Arial" w:cs="Arial"/>
          <w:sz w:val="22"/>
          <w:szCs w:val="22"/>
        </w:rPr>
        <w:t xml:space="preserve"> </w:t>
      </w:r>
      <w:r w:rsidRPr="008962C8">
        <w:rPr>
          <w:rFonts w:ascii="Arial" w:hAnsi="Arial" w:cs="Arial"/>
          <w:sz w:val="22"/>
          <w:szCs w:val="22"/>
        </w:rPr>
        <w:t>Mit der Zustellung an die T</w:t>
      </w:r>
      <w:r w:rsidR="00BA2AB2" w:rsidRPr="008962C8">
        <w:rPr>
          <w:rFonts w:ascii="Arial" w:hAnsi="Arial" w:cs="Arial"/>
          <w:sz w:val="22"/>
          <w:szCs w:val="22"/>
        </w:rPr>
        <w:t>G</w:t>
      </w:r>
      <w:r w:rsidRPr="008962C8">
        <w:rPr>
          <w:rFonts w:ascii="Arial" w:hAnsi="Arial" w:cs="Arial"/>
          <w:sz w:val="22"/>
          <w:szCs w:val="22"/>
        </w:rPr>
        <w:t xml:space="preserve"> ist das Flurbereinigungsverfahren beendet</w:t>
      </w:r>
      <w:r w:rsidR="00D8438D">
        <w:rPr>
          <w:rFonts w:ascii="Arial" w:hAnsi="Arial" w:cs="Arial"/>
          <w:sz w:val="22"/>
          <w:szCs w:val="22"/>
        </w:rPr>
        <w:t xml:space="preserve"> (§</w:t>
      </w:r>
      <w:r w:rsidR="00BA2AB2" w:rsidRPr="008962C8">
        <w:rPr>
          <w:rFonts w:ascii="Arial" w:hAnsi="Arial" w:cs="Arial"/>
          <w:sz w:val="22"/>
          <w:szCs w:val="22"/>
        </w:rPr>
        <w:t>149 Abs.3</w:t>
      </w:r>
      <w:r w:rsidR="00D8438D">
        <w:rPr>
          <w:rFonts w:ascii="Arial" w:hAnsi="Arial" w:cs="Arial"/>
          <w:sz w:val="22"/>
          <w:szCs w:val="22"/>
        </w:rPr>
        <w:t xml:space="preserve"> </w:t>
      </w:r>
      <w:r w:rsidRPr="008962C8">
        <w:rPr>
          <w:rFonts w:ascii="Arial" w:hAnsi="Arial" w:cs="Arial"/>
          <w:sz w:val="22"/>
          <w:szCs w:val="22"/>
        </w:rPr>
        <w:t>FlurbG).</w:t>
      </w:r>
      <w:r w:rsidR="009E640C">
        <w:rPr>
          <w:rFonts w:ascii="Arial" w:hAnsi="Arial" w:cs="Arial"/>
          <w:sz w:val="22"/>
          <w:szCs w:val="22"/>
        </w:rPr>
        <w:t xml:space="preserve"> </w:t>
      </w:r>
      <w:r w:rsidRPr="008962C8">
        <w:rPr>
          <w:rFonts w:ascii="Arial" w:hAnsi="Arial" w:cs="Arial"/>
          <w:sz w:val="22"/>
          <w:szCs w:val="22"/>
        </w:rPr>
        <w:t>Die T</w:t>
      </w:r>
      <w:r w:rsidR="00BA2AB2" w:rsidRPr="008962C8">
        <w:rPr>
          <w:rFonts w:ascii="Arial" w:hAnsi="Arial" w:cs="Arial"/>
          <w:sz w:val="22"/>
          <w:szCs w:val="22"/>
        </w:rPr>
        <w:t xml:space="preserve">G </w:t>
      </w:r>
      <w:r w:rsidRPr="008962C8">
        <w:rPr>
          <w:rFonts w:ascii="Arial" w:hAnsi="Arial" w:cs="Arial"/>
          <w:sz w:val="22"/>
          <w:szCs w:val="22"/>
        </w:rPr>
        <w:t>erlischt mit der Feststellung, dass ihre Aufgaben abgeschlossen sind (</w:t>
      </w:r>
      <w:r w:rsidR="00BA2AB2" w:rsidRPr="008962C8">
        <w:rPr>
          <w:rFonts w:ascii="Arial" w:hAnsi="Arial" w:cs="Arial"/>
          <w:sz w:val="22"/>
          <w:szCs w:val="22"/>
        </w:rPr>
        <w:t>§</w:t>
      </w:r>
      <w:r w:rsidR="00D8438D">
        <w:rPr>
          <w:rFonts w:ascii="Arial" w:hAnsi="Arial" w:cs="Arial"/>
          <w:sz w:val="22"/>
          <w:szCs w:val="22"/>
        </w:rPr>
        <w:t xml:space="preserve">149 Abs.4 </w:t>
      </w:r>
      <w:r w:rsidRPr="008962C8">
        <w:rPr>
          <w:rFonts w:ascii="Arial" w:hAnsi="Arial" w:cs="Arial"/>
          <w:sz w:val="22"/>
          <w:szCs w:val="22"/>
        </w:rPr>
        <w:t>FlurbG).</w:t>
      </w:r>
    </w:p>
    <w:p w:rsidR="00D227F2" w:rsidRPr="008962C8" w:rsidRDefault="00D227F2" w:rsidP="00FD73D3">
      <w:pPr>
        <w:jc w:val="both"/>
        <w:rPr>
          <w:rFonts w:ascii="Arial" w:hAnsi="Arial" w:cs="Arial"/>
          <w:sz w:val="22"/>
          <w:szCs w:val="22"/>
        </w:rPr>
      </w:pPr>
    </w:p>
    <w:p w:rsidR="00682B2B" w:rsidRPr="008962C8" w:rsidRDefault="00682B2B" w:rsidP="00FD73D3">
      <w:pPr>
        <w:jc w:val="both"/>
        <w:rPr>
          <w:rFonts w:ascii="Arial" w:hAnsi="Arial" w:cs="Arial"/>
          <w:b/>
          <w:sz w:val="22"/>
          <w:szCs w:val="22"/>
        </w:rPr>
      </w:pPr>
      <w:r w:rsidRPr="008962C8">
        <w:rPr>
          <w:rFonts w:ascii="Arial" w:hAnsi="Arial" w:cs="Arial"/>
          <w:b/>
          <w:sz w:val="22"/>
          <w:szCs w:val="22"/>
        </w:rPr>
        <w:t>Rechtsbehel</w:t>
      </w:r>
      <w:r w:rsidR="00684601" w:rsidRPr="008962C8">
        <w:rPr>
          <w:rFonts w:ascii="Arial" w:hAnsi="Arial" w:cs="Arial"/>
          <w:b/>
          <w:sz w:val="22"/>
          <w:szCs w:val="22"/>
        </w:rPr>
        <w:t>f</w:t>
      </w:r>
      <w:r w:rsidR="00FD73D3" w:rsidRPr="008962C8">
        <w:rPr>
          <w:rFonts w:ascii="Arial" w:hAnsi="Arial" w:cs="Arial"/>
          <w:b/>
          <w:sz w:val="22"/>
          <w:szCs w:val="22"/>
        </w:rPr>
        <w:t>sbelehrung</w:t>
      </w:r>
    </w:p>
    <w:p w:rsidR="00682B2B" w:rsidRPr="008962C8" w:rsidRDefault="00682B2B" w:rsidP="00FD73D3">
      <w:pPr>
        <w:jc w:val="both"/>
        <w:rPr>
          <w:rFonts w:ascii="Arial" w:hAnsi="Arial" w:cs="Arial"/>
          <w:b/>
          <w:sz w:val="22"/>
          <w:szCs w:val="22"/>
        </w:rPr>
      </w:pPr>
    </w:p>
    <w:p w:rsidR="00682B2B" w:rsidRPr="008962C8" w:rsidRDefault="00682B2B" w:rsidP="00FD73D3">
      <w:pPr>
        <w:jc w:val="both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Gegen diesen Bescheid kann innerhalb eines Monats nach Bekannt</w:t>
      </w:r>
      <w:r w:rsidR="00374186" w:rsidRPr="008962C8">
        <w:rPr>
          <w:rFonts w:ascii="Arial" w:hAnsi="Arial" w:cs="Arial"/>
          <w:sz w:val="22"/>
          <w:szCs w:val="22"/>
        </w:rPr>
        <w:t>g</w:t>
      </w:r>
      <w:r w:rsidRPr="008962C8">
        <w:rPr>
          <w:rFonts w:ascii="Arial" w:hAnsi="Arial" w:cs="Arial"/>
          <w:sz w:val="22"/>
          <w:szCs w:val="22"/>
        </w:rPr>
        <w:t>a</w:t>
      </w:r>
      <w:r w:rsidR="00374186" w:rsidRPr="008962C8">
        <w:rPr>
          <w:rFonts w:ascii="Arial" w:hAnsi="Arial" w:cs="Arial"/>
          <w:sz w:val="22"/>
          <w:szCs w:val="22"/>
        </w:rPr>
        <w:t>be Widerspruch beim Amt für Landwirtschaft, Flurneuordnung und Forsten Süd,</w:t>
      </w:r>
      <w:r w:rsidR="00D616DD" w:rsidRPr="008962C8">
        <w:rPr>
          <w:rFonts w:ascii="Arial" w:hAnsi="Arial" w:cs="Arial"/>
          <w:sz w:val="22"/>
          <w:szCs w:val="22"/>
        </w:rPr>
        <w:t xml:space="preserve"> Müllnerstraße 59, 06667 Weißenfels</w:t>
      </w:r>
      <w:r w:rsidR="0057006A" w:rsidRPr="008962C8">
        <w:rPr>
          <w:rFonts w:ascii="Arial" w:hAnsi="Arial" w:cs="Arial"/>
          <w:sz w:val="22"/>
          <w:szCs w:val="22"/>
        </w:rPr>
        <w:t xml:space="preserve"> oder bei der Außenstelle des Amtes im Mühlweg 19, 06114 Halle</w:t>
      </w:r>
      <w:r w:rsidR="00D616DD" w:rsidRPr="008962C8">
        <w:rPr>
          <w:rFonts w:ascii="Arial" w:hAnsi="Arial" w:cs="Arial"/>
          <w:sz w:val="22"/>
          <w:szCs w:val="22"/>
        </w:rPr>
        <w:t xml:space="preserve"> erhoben werden.</w:t>
      </w:r>
    </w:p>
    <w:p w:rsidR="00D616DD" w:rsidRPr="008962C8" w:rsidRDefault="00D616DD" w:rsidP="00FD73D3">
      <w:pPr>
        <w:rPr>
          <w:rFonts w:ascii="Arial" w:hAnsi="Arial" w:cs="Arial"/>
          <w:sz w:val="22"/>
          <w:szCs w:val="22"/>
        </w:rPr>
      </w:pPr>
    </w:p>
    <w:p w:rsidR="00D616DD" w:rsidRPr="008962C8" w:rsidRDefault="00D616DD" w:rsidP="00FD73D3">
      <w:pPr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Im Auftrag</w:t>
      </w:r>
    </w:p>
    <w:p w:rsidR="00D616DD" w:rsidRPr="008962C8" w:rsidRDefault="00D616DD" w:rsidP="00FD73D3">
      <w:pPr>
        <w:rPr>
          <w:rFonts w:ascii="Arial" w:hAnsi="Arial" w:cs="Arial"/>
          <w:sz w:val="22"/>
          <w:szCs w:val="22"/>
        </w:rPr>
      </w:pPr>
    </w:p>
    <w:p w:rsidR="00D616DD" w:rsidRPr="008962C8" w:rsidRDefault="00D616DD" w:rsidP="00FD73D3">
      <w:pPr>
        <w:rPr>
          <w:rFonts w:ascii="Arial" w:hAnsi="Arial" w:cs="Arial"/>
          <w:sz w:val="22"/>
          <w:szCs w:val="22"/>
        </w:rPr>
      </w:pPr>
    </w:p>
    <w:p w:rsidR="00D616DD" w:rsidRDefault="00D616DD" w:rsidP="00FD73D3">
      <w:pPr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>Dr. Lüs</w:t>
      </w:r>
      <w:r w:rsidR="0057006A" w:rsidRPr="008962C8">
        <w:rPr>
          <w:rFonts w:ascii="Arial" w:hAnsi="Arial" w:cs="Arial"/>
          <w:sz w:val="22"/>
          <w:szCs w:val="22"/>
        </w:rPr>
        <w:tab/>
      </w:r>
      <w:r w:rsidR="0057006A" w:rsidRPr="008962C8">
        <w:rPr>
          <w:rFonts w:ascii="Arial" w:hAnsi="Arial" w:cs="Arial"/>
          <w:sz w:val="22"/>
          <w:szCs w:val="22"/>
        </w:rPr>
        <w:tab/>
      </w:r>
      <w:r w:rsidR="0057006A" w:rsidRPr="008962C8">
        <w:rPr>
          <w:rFonts w:ascii="Arial" w:hAnsi="Arial" w:cs="Arial"/>
          <w:sz w:val="22"/>
          <w:szCs w:val="22"/>
        </w:rPr>
        <w:tab/>
      </w:r>
      <w:r w:rsidR="0057006A" w:rsidRPr="008962C8">
        <w:rPr>
          <w:rFonts w:ascii="Arial" w:hAnsi="Arial" w:cs="Arial"/>
          <w:sz w:val="22"/>
          <w:szCs w:val="22"/>
        </w:rPr>
        <w:tab/>
      </w:r>
      <w:r w:rsidR="0057006A" w:rsidRPr="008962C8">
        <w:rPr>
          <w:rFonts w:ascii="Arial" w:hAnsi="Arial" w:cs="Arial"/>
          <w:sz w:val="22"/>
          <w:szCs w:val="22"/>
        </w:rPr>
        <w:tab/>
        <w:t>(DS)</w:t>
      </w:r>
    </w:p>
    <w:p w:rsidR="00D8438D" w:rsidRDefault="00D8438D" w:rsidP="00FD73D3">
      <w:pPr>
        <w:rPr>
          <w:rFonts w:ascii="Arial" w:hAnsi="Arial" w:cs="Arial"/>
          <w:sz w:val="22"/>
          <w:szCs w:val="22"/>
        </w:rPr>
      </w:pPr>
    </w:p>
    <w:p w:rsidR="005837BA" w:rsidRDefault="005837BA" w:rsidP="005837BA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w:t xml:space="preserve">Die vorstehende Schlußfeststellung </w:t>
      </w:r>
      <w:r>
        <w:rPr>
          <w:rFonts w:ascii="Arial" w:eastAsia="Times New Roman" w:hAnsi="Arial" w:cs="Arial"/>
          <w:sz w:val="22"/>
          <w:szCs w:val="22"/>
        </w:rPr>
        <w:t xml:space="preserve">kann im Internet unter: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https://alff.sachsen-anhalt.de/alff-sued/flurneuordnung/flurbereinigung-mansfeld-suedharz/fbv-osterhausen-a38/</w:t>
        </w:r>
      </w:hyperlink>
      <w:r>
        <w:rPr>
          <w:rFonts w:ascii="Arial" w:hAnsi="Arial" w:cs="Arial"/>
          <w:sz w:val="22"/>
          <w:szCs w:val="22"/>
        </w:rPr>
        <w:t xml:space="preserve"> eingesehen werden.</w:t>
      </w:r>
    </w:p>
    <w:p w:rsidR="00D8438D" w:rsidRDefault="00D8438D" w:rsidP="00FD73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438D" w:rsidRPr="008962C8" w:rsidRDefault="00D8438D" w:rsidP="00D8438D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8962C8">
        <w:rPr>
          <w:rFonts w:ascii="Arial" w:hAnsi="Arial" w:cs="Arial"/>
          <w:sz w:val="22"/>
          <w:szCs w:val="22"/>
        </w:rPr>
        <w:t xml:space="preserve">Die Verarbeitung der personenbezogenen Daten, die im Rahmen des gesetzlichen Auftrages nach dem FlurbG zu erfolgen hat, wird nach Maßgabe der geltenden datenschutzrechtlichen Regelungen vorgenommen. Weitergehende Informationen sind unter </w:t>
      </w:r>
      <w:hyperlink r:id="rId7" w:history="1">
        <w:r w:rsidRPr="008962C8">
          <w:rPr>
            <w:rFonts w:ascii="Arial" w:hAnsi="Arial" w:cs="Arial"/>
            <w:color w:val="0000FF"/>
            <w:sz w:val="22"/>
            <w:szCs w:val="22"/>
            <w:u w:val="single"/>
          </w:rPr>
          <w:t>http://lsaurl.de/alffsueddsgvo</w:t>
        </w:r>
      </w:hyperlink>
      <w:r w:rsidRPr="008962C8">
        <w:rPr>
          <w:rFonts w:ascii="Arial" w:hAnsi="Arial" w:cs="Arial"/>
          <w:sz w:val="22"/>
          <w:szCs w:val="22"/>
        </w:rPr>
        <w:t xml:space="preserve"> zu finden.</w:t>
      </w:r>
    </w:p>
    <w:p w:rsidR="00D8438D" w:rsidRPr="008962C8" w:rsidRDefault="00D8438D" w:rsidP="00D8438D">
      <w:pPr>
        <w:jc w:val="both"/>
        <w:rPr>
          <w:rFonts w:ascii="Arial" w:hAnsi="Arial" w:cs="Arial"/>
          <w:sz w:val="22"/>
          <w:szCs w:val="22"/>
        </w:rPr>
      </w:pPr>
    </w:p>
    <w:p w:rsidR="00D8438D" w:rsidRPr="008962C8" w:rsidRDefault="00D8438D" w:rsidP="00FD73D3">
      <w:pPr>
        <w:rPr>
          <w:rFonts w:ascii="Arial" w:hAnsi="Arial" w:cs="Arial"/>
          <w:b/>
          <w:sz w:val="22"/>
          <w:szCs w:val="22"/>
        </w:rPr>
      </w:pPr>
    </w:p>
    <w:sectPr w:rsidR="00D8438D" w:rsidRPr="008962C8" w:rsidSect="008962C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S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32EC"/>
    <w:multiLevelType w:val="hybridMultilevel"/>
    <w:tmpl w:val="B638F868"/>
    <w:lvl w:ilvl="0" w:tplc="81CE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B"/>
    <w:rsid w:val="0001275B"/>
    <w:rsid w:val="00053265"/>
    <w:rsid w:val="00061980"/>
    <w:rsid w:val="000702DD"/>
    <w:rsid w:val="000C5720"/>
    <w:rsid w:val="000F23FA"/>
    <w:rsid w:val="00102784"/>
    <w:rsid w:val="0013089E"/>
    <w:rsid w:val="00194137"/>
    <w:rsid w:val="001E24D7"/>
    <w:rsid w:val="00220D31"/>
    <w:rsid w:val="002374CA"/>
    <w:rsid w:val="00237766"/>
    <w:rsid w:val="00243E2F"/>
    <w:rsid w:val="00264ACB"/>
    <w:rsid w:val="00283AD2"/>
    <w:rsid w:val="002E36CD"/>
    <w:rsid w:val="002F12F8"/>
    <w:rsid w:val="00374186"/>
    <w:rsid w:val="003A0431"/>
    <w:rsid w:val="003A53E0"/>
    <w:rsid w:val="0040088F"/>
    <w:rsid w:val="00405E41"/>
    <w:rsid w:val="00430B8A"/>
    <w:rsid w:val="00452D4F"/>
    <w:rsid w:val="00463D92"/>
    <w:rsid w:val="005128FC"/>
    <w:rsid w:val="005300CE"/>
    <w:rsid w:val="00535283"/>
    <w:rsid w:val="0055597A"/>
    <w:rsid w:val="0057006A"/>
    <w:rsid w:val="005707FA"/>
    <w:rsid w:val="005837BA"/>
    <w:rsid w:val="005C2FA5"/>
    <w:rsid w:val="005C3186"/>
    <w:rsid w:val="005E6FCA"/>
    <w:rsid w:val="005E7055"/>
    <w:rsid w:val="00617923"/>
    <w:rsid w:val="00682B2B"/>
    <w:rsid w:val="00684601"/>
    <w:rsid w:val="006B788D"/>
    <w:rsid w:val="006F2D5C"/>
    <w:rsid w:val="00790502"/>
    <w:rsid w:val="007E3B5E"/>
    <w:rsid w:val="008833D1"/>
    <w:rsid w:val="008962C8"/>
    <w:rsid w:val="008B0040"/>
    <w:rsid w:val="008E5874"/>
    <w:rsid w:val="008F0B73"/>
    <w:rsid w:val="00903F21"/>
    <w:rsid w:val="0090408B"/>
    <w:rsid w:val="00932B1F"/>
    <w:rsid w:val="00997537"/>
    <w:rsid w:val="009E1F85"/>
    <w:rsid w:val="009E640C"/>
    <w:rsid w:val="00A20841"/>
    <w:rsid w:val="00A31BC2"/>
    <w:rsid w:val="00A60AF9"/>
    <w:rsid w:val="00A732D1"/>
    <w:rsid w:val="00AB3652"/>
    <w:rsid w:val="00B22292"/>
    <w:rsid w:val="00B91570"/>
    <w:rsid w:val="00BA2AB2"/>
    <w:rsid w:val="00C259C0"/>
    <w:rsid w:val="00C541D3"/>
    <w:rsid w:val="00C63C21"/>
    <w:rsid w:val="00C729D4"/>
    <w:rsid w:val="00C74415"/>
    <w:rsid w:val="00C85CFF"/>
    <w:rsid w:val="00C8695C"/>
    <w:rsid w:val="00C95D30"/>
    <w:rsid w:val="00CB7B8F"/>
    <w:rsid w:val="00CC0C09"/>
    <w:rsid w:val="00D227F2"/>
    <w:rsid w:val="00D616DD"/>
    <w:rsid w:val="00D76F23"/>
    <w:rsid w:val="00D774F7"/>
    <w:rsid w:val="00D8438D"/>
    <w:rsid w:val="00DA6001"/>
    <w:rsid w:val="00DC120E"/>
    <w:rsid w:val="00E34FFD"/>
    <w:rsid w:val="00E6631E"/>
    <w:rsid w:val="00E9418C"/>
    <w:rsid w:val="00EB3627"/>
    <w:rsid w:val="00F120E0"/>
    <w:rsid w:val="00F45750"/>
    <w:rsid w:val="00F55BA6"/>
    <w:rsid w:val="00F61B3F"/>
    <w:rsid w:val="00FC5807"/>
    <w:rsid w:val="00FD53F1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C486-90CF-4B7C-9384-1E7439D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2B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0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E3B5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E3B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B5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B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B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B5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3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837BA"/>
    <w:rPr>
      <w:color w:val="0000FF" w:themeColor="hyperlink"/>
      <w:u w:val="single"/>
    </w:rPr>
  </w:style>
  <w:style w:type="paragraph" w:styleId="KeinLeerraum">
    <w:name w:val="No Spacing"/>
    <w:basedOn w:val="Standard"/>
    <w:uiPriority w:val="1"/>
    <w:qFormat/>
    <w:rsid w:val="005837BA"/>
    <w:pPr>
      <w:overflowPunct/>
      <w:autoSpaceDE/>
      <w:autoSpaceDN/>
      <w:adjustRightInd/>
    </w:pPr>
    <w:rPr>
      <w:rFonts w:ascii="Futura LSA" w:eastAsia="Calibri" w:hAnsi="Futura LS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saurl.de/alffsueddsg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ff.sachsen-anhalt.de/alff-sued/flurneuordnung/flurbereinigung-mansfeld-suedharz/fbv-osterhausen-a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8B6A-8C7A-4D51-B6F1-04D3E2E4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Lüs, Uwe</dc:creator>
  <cp:lastModifiedBy>Pomnitz, Sabine</cp:lastModifiedBy>
  <cp:revision>5</cp:revision>
  <cp:lastPrinted>2021-10-20T10:52:00Z</cp:lastPrinted>
  <dcterms:created xsi:type="dcterms:W3CDTF">2021-10-20T09:41:00Z</dcterms:created>
  <dcterms:modified xsi:type="dcterms:W3CDTF">2021-10-20T11:14:00Z</dcterms:modified>
</cp:coreProperties>
</file>